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bCs/>
          <w:sz w:val="24"/>
        </w:rPr>
      </w:pPr>
      <w:r>
        <w:rPr>
          <w:rFonts w:hint="eastAsia" w:ascii="黑体" w:hAnsi="黑体" w:eastAsia="黑体" w:cs="黑体"/>
          <w:sz w:val="36"/>
          <w:szCs w:val="36"/>
          <w:lang w:val="en-US" w:eastAsia="zh-CN"/>
        </w:rPr>
        <w:t>2023年度医院财务收支及内控管理情况项目需求书</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eastAsia" w:ascii="宋体" w:hAnsi="宋体"/>
          <w:b/>
          <w:bCs/>
          <w:sz w:val="24"/>
        </w:rPr>
      </w:pP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eastAsia" w:ascii="宋体" w:hAnsi="宋体"/>
          <w:b/>
          <w:bCs/>
          <w:sz w:val="24"/>
        </w:rPr>
      </w:pPr>
      <w:r>
        <w:rPr>
          <w:rFonts w:hint="eastAsia" w:ascii="宋体" w:hAnsi="宋体"/>
          <w:b/>
          <w:bCs/>
          <w:sz w:val="24"/>
        </w:rPr>
        <w:t>一、项目名称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年度财务收支</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内控管理审计项目</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eastAsia" w:ascii="宋体" w:hAnsi="宋体"/>
          <w:b/>
          <w:bCs/>
          <w:sz w:val="24"/>
        </w:rPr>
      </w:pPr>
      <w:r>
        <w:rPr>
          <w:rFonts w:hint="eastAsia" w:ascii="宋体" w:hAnsi="宋体"/>
          <w:b/>
          <w:bCs/>
          <w:sz w:val="24"/>
        </w:rPr>
        <w:t>二、项目背景和主要内容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积极贯彻、落实国家有关预算、内控、财务收支管理相关法规政策，全面推进内部控制建设，健全、完善内控管理体系，规范内部经济及相关业务活动，天津市第五中心医院生态城医院选聘会计师事务所，对本医院自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年1月至202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年12月期间的财务收支活动、内控管理等情况进行全面审计。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通过该项目审计，及时发现财务收支、内控管理等方面存在的问题，堵塞管理漏洞，促进本医院服务效能、廉政建设和内部治理水平的不断提高。</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2" w:firstLineChars="0"/>
        <w:textAlignment w:val="auto"/>
        <w:rPr>
          <w:rFonts w:hint="eastAsia" w:ascii="宋体" w:hAnsi="宋体"/>
          <w:b/>
          <w:bCs/>
          <w:sz w:val="24"/>
        </w:rPr>
      </w:pPr>
      <w:r>
        <w:rPr>
          <w:rFonts w:hint="eastAsia" w:ascii="宋体" w:hAnsi="宋体"/>
          <w:b/>
          <w:bCs/>
          <w:sz w:val="24"/>
        </w:rPr>
        <w:t>项目预算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lang w:val="en-US" w:eastAsia="zh-CN"/>
        </w:rPr>
        <w:t>贰</w:t>
      </w:r>
      <w:r>
        <w:rPr>
          <w:rFonts w:hint="eastAsia" w:ascii="仿宋_GB2312" w:hAnsi="仿宋_GB2312" w:eastAsia="仿宋_GB2312" w:cs="仿宋_GB2312"/>
          <w:sz w:val="28"/>
          <w:szCs w:val="28"/>
        </w:rPr>
        <w:t>万元整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2" w:firstLineChars="0"/>
        <w:textAlignment w:val="auto"/>
        <w:rPr>
          <w:rFonts w:hint="eastAsia" w:ascii="宋体" w:hAnsi="宋体"/>
          <w:b/>
          <w:bCs/>
          <w:sz w:val="24"/>
        </w:rPr>
      </w:pPr>
      <w:r>
        <w:rPr>
          <w:rFonts w:hint="eastAsia" w:ascii="宋体" w:hAnsi="宋体"/>
          <w:b/>
          <w:bCs/>
          <w:sz w:val="24"/>
        </w:rPr>
        <w:t>服务期限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自会计师事务所审计人员入场审计开始，需在</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个月之内完成上述审计工作，并出具正式审计报告。</w:t>
      </w:r>
    </w:p>
    <w:p>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ascii="宋体" w:hAnsi="宋体"/>
          <w:sz w:val="24"/>
        </w:rPr>
      </w:pPr>
      <w:r>
        <w:rPr>
          <w:rFonts w:hint="eastAsia" w:ascii="宋体" w:hAnsi="宋体"/>
          <w:b/>
          <w:bCs/>
          <w:sz w:val="24"/>
        </w:rPr>
        <w:t>五、商务需求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1.投标报价包括：投标报价为审计费总价，包括交通费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餐费等</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b/>
          <w:bCs/>
          <w:sz w:val="24"/>
        </w:rPr>
      </w:pPr>
      <w:r>
        <w:rPr>
          <w:rFonts w:hint="eastAsia" w:ascii="仿宋_GB2312" w:hAnsi="仿宋_GB2312" w:eastAsia="仿宋_GB2312" w:cs="仿宋_GB2312"/>
          <w:sz w:val="28"/>
          <w:szCs w:val="28"/>
        </w:rPr>
        <w:t>2.付款方式：审计合同签订时，天津市第五中心医院生态城医院按中标价格向中标会计师事务所预付30%审计费，其余70%款项待会计师事务所出具正式审计报告时支付结清</w:t>
      </w:r>
      <w:r>
        <w:rPr>
          <w:rFonts w:hint="eastAsia" w:ascii="仿宋_GB2312" w:hAnsi="仿宋_GB2312" w:eastAsia="仿宋_GB2312" w:cs="仿宋_GB2312"/>
          <w:sz w:val="32"/>
          <w:szCs w:val="32"/>
        </w:rPr>
        <w:t>。</w:t>
      </w:r>
    </w:p>
    <w:p>
      <w:pPr>
        <w:spacing w:line="360" w:lineRule="auto"/>
        <w:ind w:firstLine="482"/>
        <w:rPr>
          <w:rFonts w:ascii="宋体" w:hAnsi="宋体"/>
          <w:b/>
          <w:bCs/>
          <w:sz w:val="24"/>
        </w:rPr>
      </w:pPr>
      <w:r>
        <w:rPr>
          <w:rFonts w:hint="eastAsia" w:ascii="宋体" w:hAnsi="宋体"/>
          <w:b/>
          <w:bCs/>
          <w:sz w:val="24"/>
        </w:rPr>
        <w:t>六、服务技术需求</w:t>
      </w:r>
    </w:p>
    <w:tbl>
      <w:tblPr>
        <w:tblStyle w:val="2"/>
        <w:tblW w:w="850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7"/>
        <w:gridCol w:w="1665"/>
        <w:gridCol w:w="5085"/>
        <w:gridCol w:w="9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8"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b/>
                <w:bCs/>
                <w:kern w:val="0"/>
                <w:sz w:val="24"/>
              </w:rPr>
            </w:pPr>
            <w:r>
              <w:rPr>
                <w:rFonts w:hint="eastAsia" w:ascii="宋体" w:hAnsi="宋体" w:cs="宋体"/>
                <w:b/>
                <w:bCs/>
                <w:kern w:val="0"/>
                <w:sz w:val="24"/>
              </w:rPr>
              <w:t>序号</w:t>
            </w:r>
          </w:p>
        </w:tc>
        <w:tc>
          <w:tcPr>
            <w:tcW w:w="1665"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b/>
                <w:bCs/>
                <w:kern w:val="0"/>
                <w:sz w:val="24"/>
              </w:rPr>
            </w:pPr>
            <w:r>
              <w:rPr>
                <w:rFonts w:hint="eastAsia" w:ascii="宋体" w:hAnsi="宋体" w:cs="宋体"/>
                <w:b/>
                <w:bCs/>
                <w:kern w:val="0"/>
                <w:sz w:val="24"/>
              </w:rPr>
              <w:t>项目内容</w:t>
            </w:r>
          </w:p>
        </w:tc>
        <w:tc>
          <w:tcPr>
            <w:tcW w:w="5085"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b/>
                <w:bCs/>
                <w:kern w:val="0"/>
                <w:sz w:val="24"/>
              </w:rPr>
            </w:pPr>
            <w:r>
              <w:rPr>
                <w:rFonts w:hint="eastAsia" w:ascii="宋体" w:hAnsi="宋体" w:cs="宋体"/>
                <w:b/>
                <w:bCs/>
                <w:kern w:val="0"/>
                <w:sz w:val="24"/>
              </w:rPr>
              <w:t>参数</w:t>
            </w:r>
          </w:p>
        </w:tc>
        <w:tc>
          <w:tcPr>
            <w:tcW w:w="998"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kern w:val="0"/>
                <w:sz w:val="24"/>
              </w:rPr>
            </w:pPr>
            <w:r>
              <w:rPr>
                <w:rFonts w:hint="eastAsia" w:ascii="宋体" w:hAnsi="宋体" w:cs="宋体"/>
                <w:kern w:val="0"/>
                <w:sz w:val="24"/>
              </w:rPr>
              <w:t>1</w:t>
            </w:r>
          </w:p>
        </w:tc>
        <w:tc>
          <w:tcPr>
            <w:tcW w:w="16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各类指标情况</w:t>
            </w:r>
          </w:p>
        </w:tc>
        <w:tc>
          <w:tcPr>
            <w:tcW w:w="5085" w:type="dxa"/>
            <w:tcBorders>
              <w:top w:val="single" w:color="auto" w:sz="8" w:space="0"/>
              <w:left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预算管理指标、结余和风险管理指标、资产运营指标、成本管理指标、收支结构指标、发展能力指标和其他类指标。</w:t>
            </w:r>
          </w:p>
        </w:tc>
        <w:tc>
          <w:tcPr>
            <w:tcW w:w="998" w:type="dxa"/>
            <w:tcBorders>
              <w:top w:val="single" w:color="auto" w:sz="8" w:space="0"/>
              <w:left w:val="single" w:color="auto" w:sz="8" w:space="0"/>
              <w:bottom w:val="single" w:color="auto" w:sz="8" w:space="0"/>
              <w:right w:val="single" w:color="auto" w:sz="8" w:space="0"/>
            </w:tcBorders>
            <w:noWrap w:val="0"/>
            <w:vAlign w:val="top"/>
          </w:tcPr>
          <w:p>
            <w:pPr>
              <w:ind w:firstLine="0" w:firstLineChars="0"/>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right w:val="single" w:color="auto" w:sz="8" w:space="0"/>
            </w:tcBorders>
            <w:noWrap w:val="0"/>
            <w:vAlign w:val="center"/>
          </w:tcPr>
          <w:p>
            <w:pPr>
              <w:ind w:firstLine="0" w:firstLineChars="0"/>
              <w:jc w:val="center"/>
              <w:rPr>
                <w:rFonts w:ascii="宋体" w:hAnsi="宋体" w:cs="宋体"/>
                <w:kern w:val="0"/>
                <w:sz w:val="24"/>
              </w:rPr>
            </w:pPr>
            <w:r>
              <w:rPr>
                <w:rFonts w:hint="eastAsia" w:ascii="宋体" w:hAnsi="宋体" w:cs="宋体"/>
                <w:kern w:val="0"/>
                <w:sz w:val="24"/>
              </w:rPr>
              <w:t>2</w:t>
            </w:r>
          </w:p>
        </w:tc>
        <w:tc>
          <w:tcPr>
            <w:tcW w:w="1665" w:type="dxa"/>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医院的预算执行情况、财政、财务收支情况</w:t>
            </w:r>
          </w:p>
        </w:tc>
        <w:tc>
          <w:tcPr>
            <w:tcW w:w="5085" w:type="dxa"/>
            <w:tcBorders>
              <w:top w:val="single" w:color="auto" w:sz="8" w:space="0"/>
              <w:left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无预算执行不严格，擅自调整预算，预算外收入未纳入预算管理等问题；重点审查是否将所有的资金收入及其安排的支出全部纳入部门预算管理；重点审查行政事业性收费是否符合有关财经法规；在费用支出审计中，重点审查是否符合相关的法律法规和预算的要求。</w:t>
            </w:r>
          </w:p>
        </w:tc>
        <w:tc>
          <w:tcPr>
            <w:tcW w:w="998"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hint="eastAsia" w:ascii="宋体" w:hAnsi="宋体" w:cs="宋体"/>
                <w:kern w:val="0"/>
                <w:sz w:val="24"/>
              </w:rPr>
            </w:pPr>
            <w:r>
              <w:rPr>
                <w:rFonts w:hint="eastAsia" w:ascii="宋体" w:hAnsi="宋体" w:cs="宋体"/>
                <w:kern w:val="0"/>
                <w:sz w:val="24"/>
              </w:rPr>
              <w:t>3</w:t>
            </w:r>
          </w:p>
        </w:tc>
        <w:tc>
          <w:tcPr>
            <w:tcW w:w="16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财务管理</w:t>
            </w:r>
          </w:p>
        </w:tc>
        <w:tc>
          <w:tcPr>
            <w:tcW w:w="5085"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账务处理是否正确，有无存在坐收坐支、少记收入等情况；</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固定资产管理是否规范，有无定期盘点，报废手续是否完整等；</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往来账款有无及时清理等。</w:t>
            </w:r>
          </w:p>
        </w:tc>
        <w:tc>
          <w:tcPr>
            <w:tcW w:w="998"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kern w:val="0"/>
                <w:sz w:val="24"/>
              </w:rPr>
            </w:pPr>
            <w:r>
              <w:rPr>
                <w:rFonts w:hint="eastAsia" w:ascii="宋体" w:hAnsi="宋体" w:cs="宋体"/>
                <w:kern w:val="0"/>
                <w:sz w:val="24"/>
              </w:rPr>
              <w:t>4</w:t>
            </w:r>
          </w:p>
        </w:tc>
        <w:tc>
          <w:tcPr>
            <w:tcW w:w="16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财务核算情况</w:t>
            </w:r>
          </w:p>
        </w:tc>
        <w:tc>
          <w:tcPr>
            <w:tcW w:w="5085"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财务核算模式、科目设置是否符合医院实际情况等。</w:t>
            </w:r>
          </w:p>
        </w:tc>
        <w:tc>
          <w:tcPr>
            <w:tcW w:w="998"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kern w:val="0"/>
                <w:sz w:val="24"/>
              </w:rPr>
            </w:pPr>
            <w:r>
              <w:rPr>
                <w:rFonts w:hint="eastAsia" w:ascii="宋体" w:hAnsi="宋体" w:cs="宋体"/>
                <w:kern w:val="0"/>
                <w:sz w:val="24"/>
              </w:rPr>
              <w:t>5</w:t>
            </w:r>
          </w:p>
        </w:tc>
        <w:tc>
          <w:tcPr>
            <w:tcW w:w="16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政府采购、招标采购执行情况</w:t>
            </w:r>
          </w:p>
        </w:tc>
        <w:tc>
          <w:tcPr>
            <w:tcW w:w="5085"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属于政府采购范围的货物、工程、服务的采购，执行相关政府采购法律法规的情况，达到限额标准的采购是否采用招标方式，采购方式和程序是否符合规定。重点审查是否存在以化整为零、拆分等方式规避政府采购或招标；合同到期后是否又重新执行新的采购流程；招标过程中是否在招标文件中设置有倾向或者排斥潜在供应商的内容等方面。</w:t>
            </w:r>
          </w:p>
        </w:tc>
        <w:tc>
          <w:tcPr>
            <w:tcW w:w="998"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center"/>
              <w:rPr>
                <w:rFonts w:ascii="宋体" w:hAnsi="宋体" w:cs="宋体"/>
                <w:kern w:val="0"/>
                <w:sz w:val="24"/>
              </w:rPr>
            </w:pPr>
            <w:r>
              <w:rPr>
                <w:rFonts w:hint="eastAsia" w:ascii="宋体" w:hAnsi="宋体" w:cs="宋体"/>
                <w:kern w:val="0"/>
                <w:sz w:val="24"/>
              </w:rPr>
              <w:t>6</w:t>
            </w:r>
          </w:p>
        </w:tc>
        <w:tc>
          <w:tcPr>
            <w:tcW w:w="16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重大经济决策情况</w:t>
            </w:r>
          </w:p>
        </w:tc>
        <w:tc>
          <w:tcPr>
            <w:tcW w:w="5085"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包括重大经济决策管理制度的建立健全；重大经济决策项目的决策情况，有关决策事项内容的合法性、程序的合规性、执行的有效情况；具体重大经济决策项目（或重大财政支出项目）的执行情况等。</w:t>
            </w:r>
          </w:p>
        </w:tc>
        <w:tc>
          <w:tcPr>
            <w:tcW w:w="998" w:type="dxa"/>
            <w:tcBorders>
              <w:top w:val="single" w:color="auto" w:sz="8" w:space="0"/>
              <w:left w:val="single" w:color="auto" w:sz="8" w:space="0"/>
              <w:bottom w:val="single" w:color="auto" w:sz="8" w:space="0"/>
              <w:right w:val="single" w:color="auto" w:sz="8" w:space="0"/>
            </w:tcBorders>
            <w:noWrap w:val="0"/>
            <w:vAlign w:val="center"/>
          </w:tcPr>
          <w:p>
            <w:pPr>
              <w:ind w:firstLine="0" w:firstLineChars="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right w:val="single" w:color="auto" w:sz="8" w:space="0"/>
            </w:tcBorders>
            <w:noWrap w:val="0"/>
            <w:vAlign w:val="center"/>
          </w:tcPr>
          <w:p>
            <w:pPr>
              <w:ind w:firstLine="0" w:firstLineChars="0"/>
              <w:jc w:val="center"/>
              <w:rPr>
                <w:rFonts w:ascii="宋体" w:hAnsi="宋体" w:cs="宋体"/>
                <w:kern w:val="0"/>
                <w:sz w:val="24"/>
              </w:rPr>
            </w:pPr>
            <w:r>
              <w:rPr>
                <w:rFonts w:hint="eastAsia" w:ascii="宋体" w:hAnsi="宋体" w:cs="宋体"/>
                <w:kern w:val="0"/>
                <w:sz w:val="24"/>
              </w:rPr>
              <w:t>7</w:t>
            </w:r>
          </w:p>
        </w:tc>
        <w:tc>
          <w:tcPr>
            <w:tcW w:w="1665" w:type="dxa"/>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内部管理制度的建立及执行情况</w:t>
            </w:r>
          </w:p>
        </w:tc>
        <w:tc>
          <w:tcPr>
            <w:tcW w:w="5085" w:type="dxa"/>
            <w:tcBorders>
              <w:top w:val="single" w:color="auto" w:sz="8" w:space="0"/>
              <w:left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审查重要内部经济管理制度的建立和执行，检查各种资金拨付制度、印章管理制度、重大经济活动的管理和监督制度等各项内控制度的建立和执行情况。重点审查对采购环节、支付环节、资产管理环节内部制约机制的健全有效性、重点资金管理和使用情况，是否存在制度执行走形式、走过场的问题；是否存在有制度不执行，或者执行制度不彻底、不到位的情况;分析在执行制度过程中存在哪些风险和漏洞</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审查收费挂号处收款流程及医院付款流程。</w:t>
            </w:r>
          </w:p>
        </w:tc>
        <w:tc>
          <w:tcPr>
            <w:tcW w:w="998" w:type="dxa"/>
            <w:tcBorders>
              <w:top w:val="single" w:color="auto" w:sz="8" w:space="0"/>
              <w:left w:val="single" w:color="auto" w:sz="8" w:space="0"/>
              <w:right w:val="single" w:color="auto" w:sz="8" w:space="0"/>
            </w:tcBorders>
            <w:noWrap w:val="0"/>
            <w:vAlign w:val="center"/>
          </w:tcPr>
          <w:p>
            <w:pPr>
              <w:ind w:firstLine="0" w:firstLineChars="0"/>
              <w:jc w:val="left"/>
              <w:rPr>
                <w:rFonts w:ascii="宋体" w:hAnsi="宋体" w:cs="宋体"/>
                <w:kern w:val="0"/>
                <w:sz w:val="24"/>
              </w:rPr>
            </w:pPr>
          </w:p>
        </w:tc>
      </w:tr>
    </w:tbl>
    <w:p>
      <w:pPr>
        <w:spacing w:line="460" w:lineRule="exact"/>
        <w:ind w:firstLine="482"/>
        <w:rPr>
          <w:rFonts w:ascii="宋体" w:hAnsi="宋体"/>
          <w:b/>
          <w:bCs/>
          <w:sz w:val="24"/>
        </w:rPr>
      </w:pPr>
      <w:r>
        <w:rPr>
          <w:rFonts w:hint="eastAsia" w:ascii="宋体" w:hAnsi="宋体"/>
          <w:b/>
          <w:bCs/>
          <w:sz w:val="24"/>
        </w:rPr>
        <w:t>七、对服务承诺要求：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投标的会计师事务所审计人员，需恪守审计准则和注册会计师职业道</w:t>
      </w:r>
      <w:bookmarkStart w:id="0" w:name="_GoBack"/>
      <w:bookmarkEnd w:id="0"/>
      <w:r>
        <w:rPr>
          <w:rFonts w:hint="eastAsia" w:ascii="仿宋_GB2312" w:hAnsi="仿宋_GB2312" w:eastAsia="仿宋_GB2312" w:cs="仿宋_GB2312"/>
          <w:sz w:val="28"/>
          <w:szCs w:val="28"/>
        </w:rPr>
        <w:t>德规范，勤勉尽责，客观、公正，保质保量按时完成该项目审计工作。</w:t>
      </w:r>
    </w:p>
    <w:p/>
    <w:sectPr>
      <w:pgSz w:w="11906" w:h="16838"/>
      <w:pgMar w:top="1950" w:right="1519" w:bottom="166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DAB34"/>
    <w:multiLevelType w:val="singleLevel"/>
    <w:tmpl w:val="6CEDAB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Zjg5OTMzNTBjMWQzOTkxZmQ5OTdkM2EzNDJhMDgifQ=="/>
  </w:docVars>
  <w:rsids>
    <w:rsidRoot w:val="578C2C9A"/>
    <w:rsid w:val="578C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2024-05-23T06:58:00Z</dcterms:created>
  <dc:creator>Crystal</dc:creator>
  <cp:lastModifiedBy>Crystal</cp:lastModifiedBy>
  <dcterms:modified xsi:type="dcterms:W3CDTF">2024-05-23T06:58:56Z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BA41718D2A3547E983B5B3AA029D6C5A_11</vt:lpwstr>
  </property>
</Properties>
</file>